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22" w:rsidRDefault="00F54622" w:rsidP="000C227C">
      <w:pPr>
        <w:ind w:left="567" w:hanging="567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C1B542" wp14:editId="565372FA">
            <wp:simplePos x="0" y="0"/>
            <wp:positionH relativeFrom="column">
              <wp:posOffset>4085883</wp:posOffset>
            </wp:positionH>
            <wp:positionV relativeFrom="paragraph">
              <wp:posOffset>-646835</wp:posOffset>
            </wp:positionV>
            <wp:extent cx="2050156" cy="962952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56" cy="96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22" w:rsidRDefault="00A047B3" w:rsidP="00F5462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460431" wp14:editId="0E1BC5F0">
            <wp:simplePos x="0" y="0"/>
            <wp:positionH relativeFrom="column">
              <wp:posOffset>4279900</wp:posOffset>
            </wp:positionH>
            <wp:positionV relativeFrom="paragraph">
              <wp:posOffset>635</wp:posOffset>
            </wp:positionV>
            <wp:extent cx="190500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22" w:rsidRDefault="00F54622" w:rsidP="00F54622"/>
    <w:p w:rsidR="00F54622" w:rsidRPr="007B20C4" w:rsidRDefault="007B20C4" w:rsidP="007B20C4">
      <w:pPr>
        <w:pBdr>
          <w:bottom w:val="single" w:sz="18" w:space="1" w:color="D6E961"/>
        </w:pBdr>
        <w:jc w:val="center"/>
        <w:rPr>
          <w:b/>
          <w:color w:val="D6E961"/>
          <w:sz w:val="40"/>
        </w:rPr>
      </w:pPr>
      <w:r w:rsidRPr="007B20C4">
        <w:rPr>
          <w:b/>
          <w:color w:val="D6E961"/>
          <w:sz w:val="40"/>
        </w:rPr>
        <w:t xml:space="preserve">2015 </w:t>
      </w:r>
      <w:r w:rsidR="00F54622" w:rsidRPr="007B20C4">
        <w:rPr>
          <w:b/>
          <w:color w:val="D6E961"/>
          <w:sz w:val="40"/>
        </w:rPr>
        <w:t>GRANT FUNDING</w:t>
      </w:r>
    </w:p>
    <w:p w:rsidR="006007BA" w:rsidRPr="007B20C4" w:rsidRDefault="006007BA" w:rsidP="006007BA">
      <w:pPr>
        <w:ind w:left="684"/>
        <w:jc w:val="center"/>
        <w:rPr>
          <w:rFonts w:ascii="Arial" w:hAnsi="Arial" w:cs="Arial"/>
          <w:b/>
          <w:color w:val="33CCFF"/>
          <w:sz w:val="24"/>
          <w:szCs w:val="24"/>
        </w:rPr>
      </w:pPr>
      <w:r w:rsidRPr="007B20C4">
        <w:rPr>
          <w:rFonts w:ascii="Arial" w:hAnsi="Arial" w:cs="Arial"/>
          <w:b/>
          <w:color w:val="33CCFF"/>
          <w:sz w:val="24"/>
          <w:szCs w:val="24"/>
        </w:rPr>
        <w:t xml:space="preserve">GRANTS TO ASSIST PEOPLE WHO HAVE SUFFERED </w:t>
      </w:r>
      <w:r w:rsidR="00F54622" w:rsidRPr="007B20C4">
        <w:rPr>
          <w:rFonts w:ascii="Arial" w:hAnsi="Arial" w:cs="Arial"/>
          <w:b/>
          <w:color w:val="33CCFF"/>
          <w:sz w:val="24"/>
          <w:szCs w:val="24"/>
        </w:rPr>
        <w:br/>
      </w:r>
      <w:r w:rsidRPr="007B20C4">
        <w:rPr>
          <w:rFonts w:ascii="Arial" w:hAnsi="Arial" w:cs="Arial"/>
          <w:b/>
          <w:color w:val="33CCFF"/>
          <w:sz w:val="24"/>
          <w:szCs w:val="24"/>
        </w:rPr>
        <w:t>OR WHO ARE EXPOSED TO DOMESTIC ABUSE</w:t>
      </w:r>
    </w:p>
    <w:p w:rsidR="007B20C4" w:rsidRDefault="007B20C4" w:rsidP="007B20C4">
      <w:pPr>
        <w:pBdr>
          <w:bottom w:val="single" w:sz="12" w:space="1" w:color="33CCFF"/>
        </w:pBdr>
        <w:rPr>
          <w:b/>
          <w:sz w:val="28"/>
        </w:rPr>
      </w:pPr>
    </w:p>
    <w:p w:rsidR="00F54622" w:rsidRPr="007B20C4" w:rsidRDefault="007B20C4" w:rsidP="007B20C4">
      <w:pPr>
        <w:pBdr>
          <w:bottom w:val="single" w:sz="12" w:space="1" w:color="33CCFF"/>
        </w:pBdr>
        <w:rPr>
          <w:b/>
          <w:sz w:val="28"/>
        </w:rPr>
      </w:pPr>
      <w:r w:rsidRPr="007B20C4">
        <w:rPr>
          <w:b/>
          <w:sz w:val="28"/>
        </w:rPr>
        <w:t>Summary:</w:t>
      </w:r>
    </w:p>
    <w:p w:rsidR="00F54622" w:rsidRDefault="00F54622" w:rsidP="007B20C4">
      <w:pPr>
        <w:pStyle w:val="ListParagraph"/>
        <w:numPr>
          <w:ilvl w:val="0"/>
          <w:numId w:val="6"/>
        </w:numPr>
      </w:pPr>
      <w:r>
        <w:t>T</w:t>
      </w:r>
      <w:r w:rsidR="00996B81">
        <w:t xml:space="preserve">he maximum </w:t>
      </w:r>
      <w:r>
        <w:t xml:space="preserve">amount you can apply for is </w:t>
      </w:r>
      <w:r w:rsidR="00996B81">
        <w:t>£</w:t>
      </w:r>
      <w:r>
        <w:t>10</w:t>
      </w:r>
      <w:r w:rsidR="00996B81">
        <w:t xml:space="preserve">,000.  </w:t>
      </w:r>
      <w:r w:rsidR="007E1176">
        <w:t xml:space="preserve"> </w:t>
      </w:r>
    </w:p>
    <w:p w:rsidR="00316742" w:rsidRDefault="007E1176" w:rsidP="007B20C4">
      <w:pPr>
        <w:pStyle w:val="ListParagraph"/>
        <w:numPr>
          <w:ilvl w:val="0"/>
          <w:numId w:val="6"/>
        </w:numPr>
      </w:pPr>
      <w:r>
        <w:t>W</w:t>
      </w:r>
      <w:r w:rsidR="00987D44">
        <w:t>e will give priority to applications</w:t>
      </w:r>
      <w:r>
        <w:t xml:space="preserve"> from organisations or projects which will assist people living in Taunton Deane and then </w:t>
      </w:r>
      <w:r w:rsidR="00987D44">
        <w:t xml:space="preserve">to applications </w:t>
      </w:r>
      <w:r>
        <w:t>from other districts in Somerset.</w:t>
      </w:r>
      <w:r w:rsidR="00987D44">
        <w:t xml:space="preserve">  Applications from outside Somerset can be considered.</w:t>
      </w:r>
    </w:p>
    <w:p w:rsidR="00F54622" w:rsidRDefault="00F54622" w:rsidP="007B20C4">
      <w:pPr>
        <w:pStyle w:val="ListParagraph"/>
        <w:numPr>
          <w:ilvl w:val="0"/>
          <w:numId w:val="6"/>
        </w:numPr>
      </w:pPr>
      <w:r>
        <w:t>The deadline for applications is 16 February 2014.</w:t>
      </w:r>
    </w:p>
    <w:p w:rsidR="00520AEE" w:rsidRPr="007B20C4" w:rsidRDefault="00520AEE" w:rsidP="007B20C4">
      <w:pPr>
        <w:pBdr>
          <w:bottom w:val="single" w:sz="12" w:space="1" w:color="33CCFF"/>
        </w:pBdr>
        <w:rPr>
          <w:b/>
          <w:sz w:val="28"/>
        </w:rPr>
      </w:pPr>
      <w:r w:rsidRPr="007B20C4">
        <w:rPr>
          <w:b/>
          <w:sz w:val="28"/>
        </w:rPr>
        <w:t>What sort of projects will be awarded grants?</w:t>
      </w:r>
    </w:p>
    <w:p w:rsidR="00520AEE" w:rsidRDefault="00520AEE" w:rsidP="00F54622">
      <w:r>
        <w:t xml:space="preserve">We will </w:t>
      </w:r>
      <w:r w:rsidR="00F54622">
        <w:t xml:space="preserve">favour </w:t>
      </w:r>
      <w:r>
        <w:t>proposals which will have the biggest impact with the relatively small amounts of money available.</w:t>
      </w:r>
    </w:p>
    <w:p w:rsidR="00520AEE" w:rsidRDefault="00520AEE" w:rsidP="00F54622">
      <w:r>
        <w:t>Suggestions for the types of projects or items which might be awarded grant funding include the following:</w:t>
      </w:r>
    </w:p>
    <w:p w:rsidR="00520AEE" w:rsidRDefault="003A5FE9" w:rsidP="007B20C4">
      <w:pPr>
        <w:pStyle w:val="ListParagraph"/>
        <w:numPr>
          <w:ilvl w:val="0"/>
          <w:numId w:val="7"/>
        </w:numPr>
      </w:pPr>
      <w:r w:rsidRPr="00F54622">
        <w:rPr>
          <w:b/>
        </w:rPr>
        <w:t>Setting up and running a support group</w:t>
      </w:r>
      <w:r>
        <w:t xml:space="preserve"> e</w:t>
      </w:r>
      <w:r w:rsidR="00F54622">
        <w:t>.</w:t>
      </w:r>
      <w:r>
        <w:t>g</w:t>
      </w:r>
      <w:r w:rsidR="00F54622">
        <w:t>.</w:t>
      </w:r>
      <w:r>
        <w:t xml:space="preserve"> room hire, the services of a facilitator, child care costs to enable women to attend the group</w:t>
      </w:r>
      <w:r w:rsidR="00F54622">
        <w:t>;</w:t>
      </w:r>
    </w:p>
    <w:p w:rsidR="003A5FE9" w:rsidRDefault="003A5FE9" w:rsidP="007B20C4">
      <w:pPr>
        <w:pStyle w:val="ListParagraph"/>
        <w:numPr>
          <w:ilvl w:val="0"/>
          <w:numId w:val="7"/>
        </w:numPr>
      </w:pPr>
      <w:r w:rsidRPr="00F54622">
        <w:rPr>
          <w:b/>
        </w:rPr>
        <w:t>Running a course</w:t>
      </w:r>
      <w:r w:rsidR="00F54622">
        <w:t xml:space="preserve"> –</w:t>
      </w:r>
      <w:r>
        <w:t xml:space="preserve"> e</w:t>
      </w:r>
      <w:r w:rsidR="00F54622">
        <w:t>.</w:t>
      </w:r>
      <w:r>
        <w:t>g</w:t>
      </w:r>
      <w:r w:rsidR="00F54622">
        <w:t>.</w:t>
      </w:r>
      <w:r>
        <w:t xml:space="preserve"> pattern changing: funding the cost of room hire and the cost of a course-provider</w:t>
      </w:r>
      <w:r w:rsidR="00F54622">
        <w:t>;</w:t>
      </w:r>
    </w:p>
    <w:p w:rsidR="003A5FE9" w:rsidRDefault="003A5FE9" w:rsidP="007B20C4">
      <w:pPr>
        <w:pStyle w:val="ListParagraph"/>
        <w:numPr>
          <w:ilvl w:val="0"/>
          <w:numId w:val="7"/>
        </w:numPr>
      </w:pPr>
      <w:r w:rsidRPr="00F54622">
        <w:rPr>
          <w:b/>
        </w:rPr>
        <w:t>Specialist materials and resources</w:t>
      </w:r>
      <w:r>
        <w:t xml:space="preserve"> –</w:t>
      </w:r>
      <w:r w:rsidR="00F54622">
        <w:t xml:space="preserve"> </w:t>
      </w:r>
      <w:r>
        <w:t>e</w:t>
      </w:r>
      <w:r w:rsidR="00F54622">
        <w:t>.</w:t>
      </w:r>
      <w:r>
        <w:t>g</w:t>
      </w:r>
      <w:r w:rsidR="00F54622">
        <w:t>.</w:t>
      </w:r>
      <w:r>
        <w:t xml:space="preserve"> Women’s Aid resources for work</w:t>
      </w:r>
      <w:r w:rsidR="00F54622">
        <w:t xml:space="preserve"> with children and young people;</w:t>
      </w:r>
    </w:p>
    <w:p w:rsidR="003A5FE9" w:rsidRDefault="00F54622" w:rsidP="007B20C4">
      <w:pPr>
        <w:pStyle w:val="ListParagraph"/>
        <w:numPr>
          <w:ilvl w:val="0"/>
          <w:numId w:val="7"/>
        </w:numPr>
      </w:pPr>
      <w:r w:rsidRPr="00F54622">
        <w:rPr>
          <w:b/>
        </w:rPr>
        <w:t xml:space="preserve">Training costs - </w:t>
      </w:r>
      <w:r w:rsidR="003A5FE9">
        <w:t>The cost of sending a member of staff on an accredited training course</w:t>
      </w:r>
      <w:r w:rsidR="00E14B2B">
        <w:t xml:space="preserve"> so they can support people who have experienced or been exposed to domestic abuse</w:t>
      </w:r>
      <w:r>
        <w:t>;</w:t>
      </w:r>
    </w:p>
    <w:p w:rsidR="00F54622" w:rsidRDefault="00F54622" w:rsidP="007B20C4">
      <w:pPr>
        <w:pStyle w:val="ListParagraph"/>
        <w:numPr>
          <w:ilvl w:val="0"/>
          <w:numId w:val="7"/>
        </w:numPr>
      </w:pPr>
      <w:r w:rsidRPr="00F54622">
        <w:rPr>
          <w:b/>
        </w:rPr>
        <w:t>Schools work –</w:t>
      </w:r>
      <w:r>
        <w:t xml:space="preserve"> working with young people and teachers to provide support; or</w:t>
      </w:r>
    </w:p>
    <w:p w:rsidR="003A5FE9" w:rsidRDefault="003A5FE9" w:rsidP="007B20C4">
      <w:pPr>
        <w:pStyle w:val="ListParagraph"/>
        <w:numPr>
          <w:ilvl w:val="0"/>
          <w:numId w:val="7"/>
        </w:numPr>
      </w:pPr>
      <w:r w:rsidRPr="00F54622">
        <w:rPr>
          <w:b/>
        </w:rPr>
        <w:t xml:space="preserve">A confidence-building trip or outing </w:t>
      </w:r>
      <w:r>
        <w:t>for young people or for parents and children</w:t>
      </w:r>
      <w:r w:rsidR="00F54622">
        <w:t>.</w:t>
      </w:r>
    </w:p>
    <w:p w:rsidR="00814D2C" w:rsidRPr="007B20C4" w:rsidRDefault="00814D2C" w:rsidP="007B20C4">
      <w:pPr>
        <w:pBdr>
          <w:bottom w:val="single" w:sz="12" w:space="1" w:color="33CCFF"/>
        </w:pBdr>
        <w:rPr>
          <w:b/>
          <w:sz w:val="28"/>
        </w:rPr>
      </w:pPr>
      <w:r w:rsidRPr="007B20C4">
        <w:rPr>
          <w:b/>
          <w:sz w:val="28"/>
        </w:rPr>
        <w:t>What we don’t or can’t fund</w:t>
      </w:r>
      <w:r w:rsidR="00F54622" w:rsidRPr="007B20C4">
        <w:rPr>
          <w:b/>
          <w:sz w:val="28"/>
        </w:rPr>
        <w:t>:</w:t>
      </w:r>
    </w:p>
    <w:p w:rsidR="00814D2C" w:rsidRDefault="00814D2C" w:rsidP="007B20C4">
      <w:pPr>
        <w:pStyle w:val="ListParagraph"/>
        <w:numPr>
          <w:ilvl w:val="0"/>
          <w:numId w:val="9"/>
        </w:numPr>
      </w:pPr>
      <w:r>
        <w:t>Individuals or organisations applying on behalf of individuals (except for training courses)</w:t>
      </w:r>
    </w:p>
    <w:p w:rsidR="00814D2C" w:rsidRDefault="00814D2C" w:rsidP="007B20C4">
      <w:pPr>
        <w:pStyle w:val="ListParagraph"/>
        <w:numPr>
          <w:ilvl w:val="0"/>
          <w:numId w:val="9"/>
        </w:numPr>
      </w:pPr>
      <w:r>
        <w:t>Academic research, scholarships or bursaries</w:t>
      </w:r>
    </w:p>
    <w:p w:rsidR="00814D2C" w:rsidRDefault="00814D2C" w:rsidP="007B20C4">
      <w:pPr>
        <w:pStyle w:val="ListParagraph"/>
        <w:numPr>
          <w:ilvl w:val="0"/>
          <w:numId w:val="9"/>
        </w:numPr>
      </w:pPr>
      <w:r>
        <w:t>Work outside the UK</w:t>
      </w:r>
    </w:p>
    <w:p w:rsidR="00814D2C" w:rsidRDefault="00814D2C" w:rsidP="007B20C4">
      <w:pPr>
        <w:pStyle w:val="ListParagraph"/>
        <w:numPr>
          <w:ilvl w:val="0"/>
          <w:numId w:val="9"/>
        </w:numPr>
      </w:pPr>
      <w:r>
        <w:t>Work that has al</w:t>
      </w:r>
      <w:bookmarkStart w:id="0" w:name="_GoBack"/>
      <w:bookmarkEnd w:id="0"/>
      <w:r>
        <w:t>ready taken place</w:t>
      </w:r>
    </w:p>
    <w:p w:rsidR="00814D2C" w:rsidRPr="004C3605" w:rsidRDefault="00814D2C" w:rsidP="007B20C4">
      <w:pPr>
        <w:pStyle w:val="ListParagraph"/>
        <w:numPr>
          <w:ilvl w:val="0"/>
          <w:numId w:val="9"/>
        </w:numPr>
      </w:pPr>
      <w:r>
        <w:t>Equipment or materials which have already been purchased</w:t>
      </w:r>
    </w:p>
    <w:p w:rsidR="003A5FE9" w:rsidRPr="00520AEE" w:rsidRDefault="003A5FE9" w:rsidP="00F54622">
      <w:pPr>
        <w:pStyle w:val="ListParagraph"/>
        <w:ind w:left="0"/>
      </w:pPr>
    </w:p>
    <w:p w:rsidR="00376242" w:rsidRPr="007B20C4" w:rsidRDefault="00376242" w:rsidP="007B20C4">
      <w:pPr>
        <w:pBdr>
          <w:bottom w:val="single" w:sz="12" w:space="1" w:color="33CCFF"/>
        </w:pBdr>
        <w:rPr>
          <w:sz w:val="28"/>
        </w:rPr>
      </w:pPr>
      <w:r w:rsidRPr="007B20C4">
        <w:rPr>
          <w:b/>
          <w:sz w:val="28"/>
        </w:rPr>
        <w:lastRenderedPageBreak/>
        <w:t>Terms and conditions</w:t>
      </w:r>
      <w:r w:rsidRPr="007B20C4">
        <w:rPr>
          <w:sz w:val="28"/>
        </w:rPr>
        <w:t>:</w:t>
      </w:r>
    </w:p>
    <w:p w:rsidR="00376242" w:rsidRDefault="00376242" w:rsidP="007B20C4">
      <w:pPr>
        <w:pStyle w:val="ListParagraph"/>
        <w:ind w:left="0"/>
      </w:pPr>
      <w:r>
        <w:t>By making an application you agree to the following:</w:t>
      </w:r>
    </w:p>
    <w:p w:rsidR="007B20C4" w:rsidRDefault="007B20C4" w:rsidP="007B20C4">
      <w:pPr>
        <w:pStyle w:val="ListParagraph"/>
        <w:ind w:left="0"/>
      </w:pPr>
    </w:p>
    <w:p w:rsidR="00F54622" w:rsidRDefault="00F54622" w:rsidP="007B20C4">
      <w:pPr>
        <w:pStyle w:val="ListParagraph"/>
        <w:numPr>
          <w:ilvl w:val="0"/>
          <w:numId w:val="11"/>
        </w:numPr>
      </w:pPr>
      <w:r>
        <w:t>Carrying out the work as described in your application;</w:t>
      </w:r>
    </w:p>
    <w:p w:rsidR="00F54622" w:rsidRDefault="00F54622" w:rsidP="007B20C4">
      <w:pPr>
        <w:pStyle w:val="ListParagraph"/>
        <w:numPr>
          <w:ilvl w:val="0"/>
          <w:numId w:val="11"/>
        </w:numPr>
      </w:pPr>
      <w:r>
        <w:t>Updating Taunton Women’s Aid at the end of the grant period or as requested;</w:t>
      </w:r>
    </w:p>
    <w:p w:rsidR="00376242" w:rsidRDefault="00376242" w:rsidP="007B20C4">
      <w:pPr>
        <w:pStyle w:val="ListParagraph"/>
        <w:numPr>
          <w:ilvl w:val="0"/>
          <w:numId w:val="11"/>
        </w:numPr>
      </w:pPr>
      <w:r>
        <w:t>To receive communications predominantly by email –</w:t>
      </w:r>
      <w:r w:rsidR="00F54622">
        <w:t xml:space="preserve"> </w:t>
      </w:r>
      <w:r>
        <w:t>but we may need to contact you by telephone</w:t>
      </w:r>
      <w:r w:rsidR="00F54622">
        <w:t>;</w:t>
      </w:r>
    </w:p>
    <w:p w:rsidR="00376242" w:rsidRDefault="00376242" w:rsidP="007B20C4">
      <w:pPr>
        <w:pStyle w:val="ListParagraph"/>
        <w:numPr>
          <w:ilvl w:val="0"/>
          <w:numId w:val="11"/>
        </w:numPr>
      </w:pPr>
      <w:r>
        <w:t>Payments of grants being made by BACS</w:t>
      </w:r>
      <w:r w:rsidR="00F54622">
        <w:t xml:space="preserve"> to a bank account with more than one signatory;</w:t>
      </w:r>
    </w:p>
    <w:p w:rsidR="00376242" w:rsidRDefault="00376242" w:rsidP="007B20C4">
      <w:pPr>
        <w:pStyle w:val="ListParagraph"/>
        <w:numPr>
          <w:ilvl w:val="0"/>
          <w:numId w:val="11"/>
        </w:numPr>
      </w:pPr>
      <w:r>
        <w:t>Returning any unspent grant in the event you are not able to complete your project for any reason</w:t>
      </w:r>
      <w:r w:rsidR="00F54622">
        <w:t>;</w:t>
      </w:r>
    </w:p>
    <w:p w:rsidR="00376242" w:rsidRDefault="00376242" w:rsidP="007B20C4">
      <w:pPr>
        <w:pStyle w:val="ListParagraph"/>
        <w:numPr>
          <w:ilvl w:val="0"/>
          <w:numId w:val="11"/>
        </w:numPr>
      </w:pPr>
      <w:r>
        <w:t>Spending the grant only for the purposes outlined in your application –unless a variation of your application is approved by the trustees of Taunton Women’s Aid</w:t>
      </w:r>
      <w:r w:rsidR="00F54622">
        <w:t>;</w:t>
      </w:r>
    </w:p>
    <w:p w:rsidR="00850661" w:rsidRDefault="00850661" w:rsidP="007B20C4">
      <w:pPr>
        <w:pStyle w:val="ListParagraph"/>
        <w:numPr>
          <w:ilvl w:val="0"/>
          <w:numId w:val="11"/>
        </w:numPr>
      </w:pPr>
      <w:r>
        <w:t xml:space="preserve">Completing a monitoring and evaluation form </w:t>
      </w:r>
      <w:r w:rsidR="00F54622">
        <w:t>by the end of the grant period.</w:t>
      </w:r>
    </w:p>
    <w:p w:rsidR="00996B81" w:rsidRPr="007B20C4" w:rsidRDefault="00996B81" w:rsidP="007B20C4">
      <w:pPr>
        <w:pBdr>
          <w:bottom w:val="single" w:sz="12" w:space="1" w:color="33CCFF"/>
        </w:pBdr>
        <w:rPr>
          <w:b/>
          <w:sz w:val="28"/>
        </w:rPr>
      </w:pPr>
      <w:r w:rsidRPr="007B20C4">
        <w:rPr>
          <w:b/>
          <w:sz w:val="28"/>
        </w:rPr>
        <w:t>Timetable</w:t>
      </w:r>
      <w:r w:rsidR="007C0E8D" w:rsidRPr="007B20C4">
        <w:rPr>
          <w:b/>
          <w:sz w:val="28"/>
        </w:rPr>
        <w:t xml:space="preserve"> for grant applications January 2015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5"/>
        <w:gridCol w:w="7329"/>
      </w:tblGrid>
      <w:tr w:rsidR="0058509C" w:rsidRPr="007B20C4" w:rsidTr="007B20C4">
        <w:tc>
          <w:tcPr>
            <w:tcW w:w="1805" w:type="dxa"/>
            <w:shd w:val="clear" w:color="auto" w:fill="F2F2F2" w:themeFill="background1" w:themeFillShade="F2"/>
          </w:tcPr>
          <w:p w:rsidR="00996B81" w:rsidRPr="007B20C4" w:rsidRDefault="00996B81" w:rsidP="00F54622">
            <w:pPr>
              <w:rPr>
                <w:b/>
              </w:rPr>
            </w:pPr>
            <w:r w:rsidRPr="007B20C4">
              <w:rPr>
                <w:b/>
              </w:rPr>
              <w:t>Date</w:t>
            </w:r>
            <w:r w:rsidR="007B20C4">
              <w:rPr>
                <w:b/>
              </w:rPr>
              <w:t>:</w:t>
            </w:r>
          </w:p>
        </w:tc>
        <w:tc>
          <w:tcPr>
            <w:tcW w:w="7329" w:type="dxa"/>
            <w:shd w:val="clear" w:color="auto" w:fill="F2F2F2" w:themeFill="background1" w:themeFillShade="F2"/>
          </w:tcPr>
          <w:p w:rsidR="00996B81" w:rsidRPr="007B20C4" w:rsidRDefault="00996B81" w:rsidP="00F54622">
            <w:pPr>
              <w:rPr>
                <w:b/>
              </w:rPr>
            </w:pPr>
            <w:r w:rsidRPr="007B20C4">
              <w:rPr>
                <w:b/>
              </w:rPr>
              <w:t>Action</w:t>
            </w:r>
            <w:r w:rsidR="007B20C4">
              <w:rPr>
                <w:b/>
              </w:rPr>
              <w:t>:</w:t>
            </w:r>
          </w:p>
        </w:tc>
      </w:tr>
      <w:tr w:rsidR="0058509C" w:rsidTr="007B20C4">
        <w:tc>
          <w:tcPr>
            <w:tcW w:w="1805" w:type="dxa"/>
          </w:tcPr>
          <w:p w:rsidR="00996B81" w:rsidRDefault="007B20C4" w:rsidP="00F54622">
            <w:r>
              <w:t>1 January 2015</w:t>
            </w:r>
          </w:p>
        </w:tc>
        <w:tc>
          <w:tcPr>
            <w:tcW w:w="7329" w:type="dxa"/>
          </w:tcPr>
          <w:p w:rsidR="00996B81" w:rsidRDefault="002C7DB3" w:rsidP="00F54622">
            <w:r>
              <w:t>Information goes on-line setting out criteria for applying for a grant</w:t>
            </w:r>
            <w:r w:rsidR="007B20C4">
              <w:t>.</w:t>
            </w:r>
          </w:p>
        </w:tc>
      </w:tr>
      <w:tr w:rsidR="0058509C" w:rsidTr="007B20C4">
        <w:tc>
          <w:tcPr>
            <w:tcW w:w="1805" w:type="dxa"/>
          </w:tcPr>
          <w:p w:rsidR="00996B81" w:rsidRDefault="0093564F" w:rsidP="007B20C4">
            <w:r>
              <w:t>16</w:t>
            </w:r>
            <w:r w:rsidR="007B20C4">
              <w:t xml:space="preserve"> February </w:t>
            </w:r>
            <w:r w:rsidR="002C7DB3">
              <w:t>2015</w:t>
            </w:r>
          </w:p>
        </w:tc>
        <w:tc>
          <w:tcPr>
            <w:tcW w:w="7329" w:type="dxa"/>
          </w:tcPr>
          <w:p w:rsidR="00996B81" w:rsidRDefault="002C7DB3" w:rsidP="00F54622">
            <w:r>
              <w:t>Deadline for receipt of on-line applications</w:t>
            </w:r>
            <w:r w:rsidR="007B20C4">
              <w:t>.</w:t>
            </w:r>
            <w:r w:rsidR="007B20C4">
              <w:br/>
            </w:r>
            <w:r w:rsidR="007B20C4" w:rsidRPr="007B20C4">
              <w:rPr>
                <w:i/>
              </w:rPr>
              <w:t>You may be contacted after this period for more information about your application.</w:t>
            </w:r>
          </w:p>
        </w:tc>
      </w:tr>
      <w:tr w:rsidR="00F3391E" w:rsidTr="007B20C4">
        <w:tc>
          <w:tcPr>
            <w:tcW w:w="1805" w:type="dxa"/>
          </w:tcPr>
          <w:p w:rsidR="00F3391E" w:rsidRDefault="007B20C4" w:rsidP="00F54622">
            <w:r>
              <w:t>1 April 2015</w:t>
            </w:r>
          </w:p>
        </w:tc>
        <w:tc>
          <w:tcPr>
            <w:tcW w:w="7329" w:type="dxa"/>
          </w:tcPr>
          <w:p w:rsidR="00F3391E" w:rsidRDefault="0058509C" w:rsidP="007B20C4">
            <w:r>
              <w:t>Successful applicants will be notified by e-mail of the amount of the grant they are to receive</w:t>
            </w:r>
            <w:r w:rsidR="007B20C4">
              <w:t xml:space="preserve">.  </w:t>
            </w:r>
            <w:r w:rsidR="007B20C4">
              <w:br/>
            </w:r>
            <w:r w:rsidR="007B20C4" w:rsidRPr="007B20C4">
              <w:rPr>
                <w:i/>
              </w:rPr>
              <w:t>W</w:t>
            </w:r>
            <w:r w:rsidRPr="007B20C4">
              <w:rPr>
                <w:i/>
              </w:rPr>
              <w:t xml:space="preserve">e will endeavour to provide feedback to unsuccessful applicants </w:t>
            </w:r>
            <w:r w:rsidR="002C051F" w:rsidRPr="007B20C4">
              <w:rPr>
                <w:i/>
              </w:rPr>
              <w:t>but this may not be</w:t>
            </w:r>
            <w:r w:rsidR="007B20C4" w:rsidRPr="007B20C4">
              <w:rPr>
                <w:i/>
              </w:rPr>
              <w:t xml:space="preserve"> possible.</w:t>
            </w:r>
          </w:p>
        </w:tc>
      </w:tr>
      <w:tr w:rsidR="0058509C" w:rsidTr="007B20C4">
        <w:tc>
          <w:tcPr>
            <w:tcW w:w="1805" w:type="dxa"/>
          </w:tcPr>
          <w:p w:rsidR="0058509C" w:rsidRDefault="007B20C4" w:rsidP="00F54622">
            <w:r>
              <w:t>End April 2014</w:t>
            </w:r>
          </w:p>
        </w:tc>
        <w:tc>
          <w:tcPr>
            <w:tcW w:w="7329" w:type="dxa"/>
          </w:tcPr>
          <w:p w:rsidR="0058509C" w:rsidRDefault="00380E21" w:rsidP="00F54622">
            <w:r>
              <w:t>Grant payments will be paid into the notified bank account</w:t>
            </w:r>
            <w:r w:rsidR="007B20C4">
              <w:t>.</w:t>
            </w:r>
          </w:p>
        </w:tc>
      </w:tr>
    </w:tbl>
    <w:p w:rsidR="00996B81" w:rsidRDefault="00996B81" w:rsidP="00F54622"/>
    <w:p w:rsidR="007B20C4" w:rsidRPr="007B20C4" w:rsidRDefault="007B20C4" w:rsidP="007B20C4">
      <w:pPr>
        <w:pBdr>
          <w:bottom w:val="single" w:sz="12" w:space="1" w:color="33CCFF"/>
        </w:pBdr>
        <w:rPr>
          <w:b/>
          <w:sz w:val="28"/>
        </w:rPr>
      </w:pPr>
      <w:r>
        <w:rPr>
          <w:b/>
          <w:sz w:val="28"/>
        </w:rPr>
        <w:t>Contact us</w:t>
      </w:r>
    </w:p>
    <w:p w:rsidR="007B20C4" w:rsidRDefault="007B20C4" w:rsidP="00F54622">
      <w:r>
        <w:t xml:space="preserve">For more information, email </w:t>
      </w:r>
      <w:hyperlink r:id="rId8" w:history="1">
        <w:r w:rsidRPr="00BD3693">
          <w:rPr>
            <w:rStyle w:val="Hyperlink"/>
          </w:rPr>
          <w:t>info@tauntonwomensaid.org.uk</w:t>
        </w:r>
      </w:hyperlink>
      <w:r>
        <w:t xml:space="preserve"> or write to: </w:t>
      </w:r>
    </w:p>
    <w:p w:rsidR="00AA73A3" w:rsidRDefault="007B20C4" w:rsidP="007B20C4">
      <w:r>
        <w:t>Taunton Women’s Aid</w:t>
      </w:r>
      <w:r>
        <w:br/>
      </w:r>
      <w:r>
        <w:t>PO BOX 286</w:t>
      </w:r>
      <w:r>
        <w:br/>
      </w:r>
      <w:r>
        <w:t>Taunton</w:t>
      </w:r>
      <w:r>
        <w:br/>
      </w:r>
      <w:r>
        <w:t>Somerset</w:t>
      </w:r>
      <w:r>
        <w:br/>
      </w:r>
      <w:r>
        <w:t>TA2 6YD</w:t>
      </w:r>
      <w:r>
        <w:t xml:space="preserve"> </w:t>
      </w:r>
    </w:p>
    <w:p w:rsidR="00B02EAE" w:rsidRDefault="00B02EAE" w:rsidP="00F54622"/>
    <w:p w:rsidR="007B20C4" w:rsidRDefault="007B20C4" w:rsidP="00F54622"/>
    <w:p w:rsidR="007B20C4" w:rsidRDefault="007B20C4" w:rsidP="007B20C4">
      <w:pPr>
        <w:jc w:val="right"/>
      </w:pPr>
      <w:r>
        <w:rPr>
          <w:color w:val="33CCFF"/>
        </w:rPr>
        <w:t>1 January 2015</w:t>
      </w:r>
    </w:p>
    <w:sectPr w:rsidR="007B20C4" w:rsidSect="00A047B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F2C"/>
    <w:multiLevelType w:val="hybridMultilevel"/>
    <w:tmpl w:val="8BA23236"/>
    <w:lvl w:ilvl="0" w:tplc="318AEF1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4F4F7F"/>
    <w:multiLevelType w:val="hybridMultilevel"/>
    <w:tmpl w:val="F97A6506"/>
    <w:lvl w:ilvl="0" w:tplc="1FC8C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4452F24"/>
    <w:multiLevelType w:val="hybridMultilevel"/>
    <w:tmpl w:val="4CB2AC6E"/>
    <w:lvl w:ilvl="0" w:tplc="318AEF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>
    <w:nsid w:val="25835824"/>
    <w:multiLevelType w:val="hybridMultilevel"/>
    <w:tmpl w:val="25628D74"/>
    <w:lvl w:ilvl="0" w:tplc="89563DBA">
      <w:start w:val="1"/>
      <w:numFmt w:val="bullet"/>
      <w:lvlText w:val="×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22219"/>
    <w:multiLevelType w:val="hybridMultilevel"/>
    <w:tmpl w:val="9B8A878A"/>
    <w:lvl w:ilvl="0" w:tplc="751E7D5C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E412BD1"/>
    <w:multiLevelType w:val="hybridMultilevel"/>
    <w:tmpl w:val="6BB8D7EC"/>
    <w:lvl w:ilvl="0" w:tplc="318AE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34194F9D"/>
    <w:multiLevelType w:val="hybridMultilevel"/>
    <w:tmpl w:val="E4EE417C"/>
    <w:lvl w:ilvl="0" w:tplc="1FC8C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616A3"/>
    <w:multiLevelType w:val="hybridMultilevel"/>
    <w:tmpl w:val="6038B76C"/>
    <w:lvl w:ilvl="0" w:tplc="1FC8C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2E68D9"/>
    <w:multiLevelType w:val="hybridMultilevel"/>
    <w:tmpl w:val="1D942400"/>
    <w:lvl w:ilvl="0" w:tplc="89563DBA">
      <w:start w:val="1"/>
      <w:numFmt w:val="bullet"/>
      <w:lvlText w:val="×"/>
      <w:lvlJc w:val="left"/>
      <w:pPr>
        <w:ind w:left="360" w:hanging="360"/>
      </w:pPr>
      <w:rPr>
        <w:rFonts w:ascii="Arial" w:hAnsi="Aria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851622"/>
    <w:multiLevelType w:val="hybridMultilevel"/>
    <w:tmpl w:val="6406B840"/>
    <w:lvl w:ilvl="0" w:tplc="318AEF1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6CD78D9"/>
    <w:multiLevelType w:val="hybridMultilevel"/>
    <w:tmpl w:val="C2BC30C4"/>
    <w:lvl w:ilvl="0" w:tplc="1FC8C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C"/>
    <w:rsid w:val="000C227C"/>
    <w:rsid w:val="000F0A01"/>
    <w:rsid w:val="001200E3"/>
    <w:rsid w:val="002C051F"/>
    <w:rsid w:val="002C7DB3"/>
    <w:rsid w:val="00316742"/>
    <w:rsid w:val="003276D4"/>
    <w:rsid w:val="003574EE"/>
    <w:rsid w:val="00376242"/>
    <w:rsid w:val="00380E21"/>
    <w:rsid w:val="003A5FE9"/>
    <w:rsid w:val="004C3605"/>
    <w:rsid w:val="00520AEE"/>
    <w:rsid w:val="0058509C"/>
    <w:rsid w:val="00596738"/>
    <w:rsid w:val="006007BA"/>
    <w:rsid w:val="007B20C4"/>
    <w:rsid w:val="007C0E8D"/>
    <w:rsid w:val="007E1176"/>
    <w:rsid w:val="00814D2C"/>
    <w:rsid w:val="00850661"/>
    <w:rsid w:val="0093564F"/>
    <w:rsid w:val="0098600D"/>
    <w:rsid w:val="00987D44"/>
    <w:rsid w:val="00996B81"/>
    <w:rsid w:val="009B21CB"/>
    <w:rsid w:val="009F0E42"/>
    <w:rsid w:val="00A047B3"/>
    <w:rsid w:val="00AA73A3"/>
    <w:rsid w:val="00B02EAE"/>
    <w:rsid w:val="00B218B0"/>
    <w:rsid w:val="00B66AA5"/>
    <w:rsid w:val="00CF0E32"/>
    <w:rsid w:val="00CF2637"/>
    <w:rsid w:val="00DF77BA"/>
    <w:rsid w:val="00E14B2B"/>
    <w:rsid w:val="00F3391E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742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42"/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742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42"/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untonwomensaid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Nicholls Lucy (Somerset Partnership)</cp:lastModifiedBy>
  <cp:revision>33</cp:revision>
  <dcterms:created xsi:type="dcterms:W3CDTF">2014-11-15T17:54:00Z</dcterms:created>
  <dcterms:modified xsi:type="dcterms:W3CDTF">2014-12-12T13:42:00Z</dcterms:modified>
</cp:coreProperties>
</file>